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глав</w:t>
      </w:r>
      <w:r w:rsidR="008428AE" w:rsidRPr="00DB4D9E">
        <w:rPr>
          <w:rFonts w:ascii="Times New Roman" w:hAnsi="Times New Roman"/>
          <w:sz w:val="28"/>
          <w:szCs w:val="28"/>
          <w:lang w:eastAsia="ru-RU"/>
        </w:rPr>
        <w:t>а</w:t>
      </w:r>
      <w:r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CD7BA1" w:rsidRPr="00DB4D9E">
        <w:rPr>
          <w:rFonts w:ascii="Times New Roman" w:hAnsi="Times New Roman"/>
          <w:sz w:val="28"/>
          <w:szCs w:val="28"/>
          <w:lang w:eastAsia="ru-RU"/>
        </w:rPr>
        <w:t>___</w:t>
      </w:r>
      <w:r w:rsidRPr="00DB4D9E">
        <w:rPr>
          <w:rFonts w:ascii="Times New Roman" w:hAnsi="Times New Roman"/>
          <w:sz w:val="28"/>
          <w:szCs w:val="28"/>
          <w:lang w:eastAsia="ru-RU"/>
        </w:rPr>
        <w:t>___</w:t>
      </w:r>
      <w:r w:rsidR="007C747A" w:rsidRPr="00DB4D9E">
        <w:rPr>
          <w:rFonts w:ascii="Times New Roman" w:hAnsi="Times New Roman"/>
          <w:sz w:val="28"/>
          <w:szCs w:val="28"/>
          <w:lang w:eastAsia="ru-RU"/>
        </w:rPr>
        <w:t>А.Н. Шмелев</w:t>
      </w:r>
    </w:p>
    <w:p w14:paraId="29502CD5" w14:textId="056CD3C4"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DB4D9E" w:rsidRPr="00DB4D9E">
        <w:rPr>
          <w:rFonts w:ascii="Times New Roman" w:hAnsi="Times New Roman"/>
          <w:sz w:val="28"/>
          <w:szCs w:val="28"/>
          <w:lang w:eastAsia="ru-RU"/>
        </w:rPr>
        <w:t>2</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32D398C6"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53486D" w:rsidRPr="00DB4D9E">
        <w:rPr>
          <w:rFonts w:ascii="Times New Roman" w:hAnsi="Times New Roman"/>
          <w:b/>
          <w:sz w:val="28"/>
          <w:szCs w:val="28"/>
          <w:lang w:eastAsia="ru-RU"/>
        </w:rPr>
        <w:t>1</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219CFD44" w14:textId="77777777" w:rsidR="00DB4D9E" w:rsidRPr="00DB4D9E" w:rsidRDefault="00DB4D9E" w:rsidP="004677FE">
      <w:pPr>
        <w:spacing w:after="0" w:line="240" w:lineRule="auto"/>
        <w:ind w:firstLine="709"/>
        <w:jc w:val="both"/>
        <w:rPr>
          <w:rFonts w:ascii="Times New Roman" w:hAnsi="Times New Roman"/>
          <w:sz w:val="28"/>
          <w:szCs w:val="28"/>
          <w:lang w:eastAsia="ru-RU"/>
        </w:rPr>
      </w:pPr>
    </w:p>
    <w:p w14:paraId="0708B2FE" w14:textId="5E81F32E" w:rsidR="00381C55" w:rsidRPr="00DB4D9E" w:rsidRDefault="00DD2140" w:rsidP="00381C55">
      <w:pPr>
        <w:spacing w:after="0" w:line="240" w:lineRule="auto"/>
        <w:ind w:firstLine="709"/>
        <w:jc w:val="both"/>
        <w:rPr>
          <w:rFonts w:ascii="Times New Roman" w:hAnsi="Times New Roman"/>
          <w:sz w:val="28"/>
          <w:szCs w:val="28"/>
        </w:rPr>
      </w:pPr>
      <w:r w:rsidRPr="00DB4D9E">
        <w:rPr>
          <w:rFonts w:ascii="Times New Roman" w:hAnsi="Times New Roman"/>
          <w:b/>
          <w:sz w:val="28"/>
          <w:szCs w:val="28"/>
          <w:lang w:eastAsia="ru-RU"/>
        </w:rPr>
        <w:t>Лот №1</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 xml:space="preserve">по адресному ориентиру: </w:t>
      </w:r>
      <w:r w:rsidR="009E73E1">
        <w:rPr>
          <w:rFonts w:ascii="Times New Roman" w:hAnsi="Times New Roman"/>
          <w:sz w:val="28"/>
          <w:szCs w:val="28"/>
        </w:rPr>
        <w:t>ул. Герцена, рядом с площадкой напротив дома №24</w:t>
      </w:r>
      <w:r w:rsidR="00A6210E" w:rsidRPr="00DB4D9E">
        <w:rPr>
          <w:rFonts w:ascii="Times New Roman" w:hAnsi="Times New Roman"/>
          <w:sz w:val="28"/>
          <w:szCs w:val="28"/>
        </w:rPr>
        <w:t xml:space="preserve"> </w:t>
      </w:r>
    </w:p>
    <w:p w14:paraId="462BC084" w14:textId="54074054"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9E73E1">
        <w:rPr>
          <w:rFonts w:ascii="Times New Roman" w:hAnsi="Times New Roman"/>
          <w:sz w:val="28"/>
          <w:szCs w:val="28"/>
        </w:rPr>
        <w:t>4</w:t>
      </w:r>
      <w:r w:rsidRPr="00DB4D9E">
        <w:rPr>
          <w:rFonts w:ascii="Times New Roman" w:hAnsi="Times New Roman"/>
          <w:sz w:val="28"/>
          <w:szCs w:val="28"/>
        </w:rPr>
        <w:t xml:space="preserve"> кв. м.,</w:t>
      </w:r>
    </w:p>
    <w:p w14:paraId="17855941" w14:textId="12FA6E4A"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Pr="00DB4D9E">
        <w:rPr>
          <w:rFonts w:ascii="Times New Roman" w:hAnsi="Times New Roman"/>
          <w:sz w:val="28"/>
          <w:szCs w:val="28"/>
        </w:rPr>
        <w:t xml:space="preserve">- </w:t>
      </w:r>
      <w:r w:rsidR="0053486D" w:rsidRPr="00DB4D9E">
        <w:rPr>
          <w:rFonts w:ascii="Times New Roman" w:hAnsi="Times New Roman"/>
          <w:sz w:val="28"/>
          <w:szCs w:val="28"/>
        </w:rPr>
        <w:t>киоск</w:t>
      </w:r>
      <w:r w:rsidRPr="00DB4D9E">
        <w:rPr>
          <w:rFonts w:ascii="Times New Roman" w:hAnsi="Times New Roman"/>
          <w:sz w:val="28"/>
          <w:szCs w:val="28"/>
        </w:rPr>
        <w:t>,</w:t>
      </w:r>
    </w:p>
    <w:p w14:paraId="71BDC929" w14:textId="32C6EC49"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w:t>
      </w:r>
      <w:r w:rsidR="00FC1BCE" w:rsidRPr="00DB4D9E">
        <w:rPr>
          <w:rFonts w:ascii="Times New Roman" w:hAnsi="Times New Roman"/>
          <w:sz w:val="28"/>
          <w:szCs w:val="28"/>
        </w:rPr>
        <w:t>–</w:t>
      </w:r>
      <w:r w:rsidRPr="00DB4D9E">
        <w:rPr>
          <w:rFonts w:ascii="Times New Roman" w:hAnsi="Times New Roman"/>
          <w:sz w:val="28"/>
          <w:szCs w:val="28"/>
        </w:rPr>
        <w:t xml:space="preserve"> </w:t>
      </w:r>
      <w:r w:rsidR="009E73E1">
        <w:rPr>
          <w:rFonts w:ascii="Times New Roman" w:hAnsi="Times New Roman"/>
          <w:sz w:val="28"/>
          <w:szCs w:val="28"/>
        </w:rPr>
        <w:t>продажа соков</w:t>
      </w:r>
      <w:r w:rsidRPr="00DB4D9E">
        <w:rPr>
          <w:rFonts w:ascii="Times New Roman" w:hAnsi="Times New Roman"/>
          <w:sz w:val="28"/>
          <w:szCs w:val="28"/>
        </w:rPr>
        <w:t>,</w:t>
      </w:r>
      <w:r w:rsidR="009E73E1">
        <w:rPr>
          <w:rFonts w:ascii="Times New Roman" w:hAnsi="Times New Roman"/>
          <w:sz w:val="28"/>
          <w:szCs w:val="28"/>
        </w:rPr>
        <w:t xml:space="preserve"> воды</w:t>
      </w:r>
      <w:r w:rsidRPr="00DB4D9E">
        <w:rPr>
          <w:rFonts w:ascii="Times New Roman" w:hAnsi="Times New Roman"/>
          <w:sz w:val="28"/>
          <w:szCs w:val="28"/>
        </w:rPr>
        <w:t xml:space="preserve"> </w:t>
      </w:r>
    </w:p>
    <w:p w14:paraId="18DB0CBA" w14:textId="77777777" w:rsidR="00DD2140" w:rsidRPr="00DB4D9E" w:rsidRDefault="00DD2140" w:rsidP="00DD21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26840587" w14:textId="3774E6D4" w:rsidR="00DD2140" w:rsidRPr="00DB4D9E"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9E73E1">
        <w:rPr>
          <w:rFonts w:ascii="Times New Roman" w:hAnsi="Times New Roman"/>
          <w:sz w:val="28"/>
          <w:szCs w:val="28"/>
          <w:lang w:eastAsia="ru-RU"/>
        </w:rPr>
        <w:t xml:space="preserve">8100 </w:t>
      </w:r>
      <w:r w:rsidRPr="00DB4D9E">
        <w:rPr>
          <w:rFonts w:ascii="Times New Roman" w:eastAsia="Times New Roman" w:hAnsi="Times New Roman"/>
          <w:sz w:val="28"/>
          <w:szCs w:val="28"/>
          <w:lang w:eastAsia="ru-RU"/>
        </w:rPr>
        <w:t>рублей в год,</w:t>
      </w:r>
    </w:p>
    <w:p w14:paraId="31D4CA3C" w14:textId="08C76944" w:rsidR="00DD2140"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9E73E1">
        <w:rPr>
          <w:rFonts w:ascii="Times New Roman" w:eastAsia="Times New Roman" w:hAnsi="Times New Roman"/>
          <w:sz w:val="28"/>
          <w:szCs w:val="28"/>
          <w:lang w:eastAsia="ru-RU"/>
        </w:rPr>
        <w:t>810</w:t>
      </w:r>
      <w:r w:rsidRPr="00DB4D9E">
        <w:rPr>
          <w:rFonts w:ascii="Times New Roman" w:eastAsia="Times New Roman" w:hAnsi="Times New Roman"/>
          <w:sz w:val="28"/>
          <w:szCs w:val="28"/>
          <w:lang w:eastAsia="ru-RU"/>
        </w:rPr>
        <w:t xml:space="preserve"> рублей.</w:t>
      </w:r>
    </w:p>
    <w:p w14:paraId="3E1DD580" w14:textId="77777777" w:rsidR="009E73E1" w:rsidRPr="00DB4D9E" w:rsidRDefault="009E73E1" w:rsidP="00DD2140">
      <w:pPr>
        <w:spacing w:after="0" w:line="240" w:lineRule="auto"/>
        <w:jc w:val="both"/>
        <w:rPr>
          <w:rFonts w:ascii="Times New Roman" w:eastAsia="Times New Roman" w:hAnsi="Times New Roman"/>
          <w:sz w:val="28"/>
          <w:szCs w:val="28"/>
          <w:lang w:eastAsia="ru-RU"/>
        </w:rPr>
      </w:pPr>
    </w:p>
    <w:p w14:paraId="4738B42B" w14:textId="23965F3F" w:rsidR="009E73E1" w:rsidRPr="00DB4D9E" w:rsidRDefault="009E73E1" w:rsidP="009E73E1">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 xml:space="preserve">по адресному ориентиру: </w:t>
      </w:r>
      <w:r>
        <w:rPr>
          <w:rFonts w:ascii="Times New Roman" w:hAnsi="Times New Roman"/>
          <w:sz w:val="28"/>
          <w:szCs w:val="28"/>
        </w:rPr>
        <w:t>ул. Северная, д. 1/6</w:t>
      </w:r>
    </w:p>
    <w:p w14:paraId="6564B4A1" w14:textId="12D0DF87" w:rsidR="009E73E1" w:rsidRPr="00DB4D9E" w:rsidRDefault="009E73E1" w:rsidP="009E73E1">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50</w:t>
      </w:r>
      <w:r w:rsidRPr="00DB4D9E">
        <w:rPr>
          <w:rFonts w:ascii="Times New Roman" w:hAnsi="Times New Roman"/>
          <w:sz w:val="28"/>
          <w:szCs w:val="28"/>
        </w:rPr>
        <w:t xml:space="preserve"> кв. м.,</w:t>
      </w:r>
    </w:p>
    <w:p w14:paraId="63726A9D" w14:textId="359AFFC6" w:rsidR="009E73E1" w:rsidRPr="00DB4D9E" w:rsidRDefault="009E73E1" w:rsidP="009E73E1">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торгово-остановочный комплекс</w:t>
      </w:r>
      <w:r w:rsidRPr="00DB4D9E">
        <w:rPr>
          <w:rFonts w:ascii="Times New Roman" w:hAnsi="Times New Roman"/>
          <w:sz w:val="28"/>
          <w:szCs w:val="28"/>
        </w:rPr>
        <w:t>,</w:t>
      </w:r>
    </w:p>
    <w:p w14:paraId="3770F8FB" w14:textId="0F1941B3" w:rsidR="009E73E1" w:rsidRPr="00DB4D9E" w:rsidRDefault="009E73E1" w:rsidP="009E73E1">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оказание услуг общественного питания</w:t>
      </w:r>
      <w:r w:rsidRPr="00DB4D9E">
        <w:rPr>
          <w:rFonts w:ascii="Times New Roman" w:hAnsi="Times New Roman"/>
          <w:sz w:val="28"/>
          <w:szCs w:val="28"/>
        </w:rPr>
        <w:t xml:space="preserve"> </w:t>
      </w:r>
    </w:p>
    <w:p w14:paraId="040C76E6" w14:textId="77777777" w:rsidR="009E73E1" w:rsidRPr="00DB4D9E" w:rsidRDefault="009E73E1" w:rsidP="009E73E1">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D3A147E" w14:textId="555BFB98" w:rsidR="009E73E1" w:rsidRPr="00DB4D9E" w:rsidRDefault="009E73E1" w:rsidP="009E73E1">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39600 </w:t>
      </w:r>
      <w:r w:rsidRPr="00DB4D9E">
        <w:rPr>
          <w:rFonts w:ascii="Times New Roman" w:eastAsia="Times New Roman" w:hAnsi="Times New Roman"/>
          <w:sz w:val="28"/>
          <w:szCs w:val="28"/>
          <w:lang w:eastAsia="ru-RU"/>
        </w:rPr>
        <w:t>рублей в год,</w:t>
      </w:r>
    </w:p>
    <w:p w14:paraId="683115CA" w14:textId="75986829" w:rsidR="009E73E1" w:rsidRPr="00DB4D9E" w:rsidRDefault="009E73E1" w:rsidP="009E73E1">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3960</w:t>
      </w:r>
      <w:r w:rsidRPr="00DB4D9E">
        <w:rPr>
          <w:rFonts w:ascii="Times New Roman" w:eastAsia="Times New Roman" w:hAnsi="Times New Roman"/>
          <w:sz w:val="28"/>
          <w:szCs w:val="28"/>
          <w:lang w:eastAsia="ru-RU"/>
        </w:rPr>
        <w:t xml:space="preserve"> рублей.</w:t>
      </w:r>
    </w:p>
    <w:p w14:paraId="650CD11E" w14:textId="77777777" w:rsidR="00DB4D9E" w:rsidRPr="00DB4D9E" w:rsidRDefault="00DB4D9E"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lastRenderedPageBreak/>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5294AC04"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536FAD">
        <w:rPr>
          <w:rFonts w:ascii="Times New Roman" w:hAnsi="Times New Roman"/>
          <w:sz w:val="28"/>
          <w:szCs w:val="28"/>
        </w:rPr>
        <w:t>18</w:t>
      </w:r>
      <w:r w:rsidR="00A9299B" w:rsidRPr="00DB4D9E">
        <w:rPr>
          <w:rFonts w:ascii="Times New Roman" w:hAnsi="Times New Roman"/>
          <w:sz w:val="28"/>
          <w:szCs w:val="28"/>
        </w:rPr>
        <w:t xml:space="preserve"> </w:t>
      </w:r>
      <w:r w:rsidR="00DB4D9E" w:rsidRPr="00DB4D9E">
        <w:rPr>
          <w:rFonts w:ascii="Times New Roman" w:hAnsi="Times New Roman"/>
          <w:sz w:val="28"/>
          <w:szCs w:val="28"/>
        </w:rPr>
        <w:t>апреля</w:t>
      </w:r>
      <w:r w:rsidR="00BC7915" w:rsidRPr="00DB4D9E">
        <w:rPr>
          <w:rFonts w:ascii="Times New Roman" w:hAnsi="Times New Roman"/>
          <w:sz w:val="28"/>
          <w:szCs w:val="28"/>
        </w:rPr>
        <w:t xml:space="preserve"> 202</w:t>
      </w:r>
      <w:r w:rsidR="00DB4D9E" w:rsidRPr="00DB4D9E">
        <w:rPr>
          <w:rFonts w:ascii="Times New Roman" w:hAnsi="Times New Roman"/>
          <w:sz w:val="28"/>
          <w:szCs w:val="28"/>
        </w:rPr>
        <w:t>2</w:t>
      </w:r>
      <w:r w:rsidR="0084165D" w:rsidRPr="00DB4D9E">
        <w:rPr>
          <w:rFonts w:ascii="Times New Roman" w:hAnsi="Times New Roman"/>
          <w:sz w:val="28"/>
          <w:szCs w:val="28"/>
        </w:rPr>
        <w:t xml:space="preserve"> года по </w:t>
      </w:r>
      <w:r w:rsidR="00536FAD">
        <w:rPr>
          <w:rFonts w:ascii="Times New Roman" w:hAnsi="Times New Roman"/>
          <w:sz w:val="28"/>
          <w:szCs w:val="28"/>
        </w:rPr>
        <w:t>18</w:t>
      </w:r>
      <w:r w:rsidR="002E52E6" w:rsidRPr="00DB4D9E">
        <w:rPr>
          <w:rFonts w:ascii="Times New Roman" w:hAnsi="Times New Roman"/>
          <w:sz w:val="28"/>
          <w:szCs w:val="28"/>
        </w:rPr>
        <w:t xml:space="preserve"> </w:t>
      </w:r>
      <w:r w:rsidR="00DB4D9E" w:rsidRPr="00DB4D9E">
        <w:rPr>
          <w:rFonts w:ascii="Times New Roman" w:hAnsi="Times New Roman"/>
          <w:sz w:val="28"/>
          <w:szCs w:val="28"/>
        </w:rPr>
        <w:t>мая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5A8A9003"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536FAD">
        <w:rPr>
          <w:rFonts w:ascii="Times New Roman" w:hAnsi="Times New Roman"/>
          <w:sz w:val="28"/>
          <w:szCs w:val="28"/>
        </w:rPr>
        <w:t>а участие в аукционе 18</w:t>
      </w:r>
      <w:r w:rsidR="00DB4D9E" w:rsidRPr="00DB4D9E">
        <w:rPr>
          <w:rFonts w:ascii="Times New Roman" w:hAnsi="Times New Roman"/>
          <w:sz w:val="28"/>
          <w:szCs w:val="28"/>
        </w:rPr>
        <w:t xml:space="preserve"> мая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3F6A59F7"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536FAD">
        <w:rPr>
          <w:rFonts w:ascii="Times New Roman" w:hAnsi="Times New Roman"/>
          <w:sz w:val="28"/>
          <w:szCs w:val="28"/>
          <w:lang w:eastAsia="ru-RU"/>
        </w:rPr>
        <w:t>19</w:t>
      </w:r>
      <w:r w:rsidR="002C63D7" w:rsidRPr="00DB4D9E">
        <w:rPr>
          <w:rFonts w:ascii="Times New Roman" w:hAnsi="Times New Roman"/>
          <w:sz w:val="28"/>
          <w:szCs w:val="28"/>
          <w:lang w:eastAsia="ru-RU"/>
        </w:rPr>
        <w:t xml:space="preserve"> </w:t>
      </w:r>
      <w:r w:rsidR="00DB4D9E" w:rsidRPr="00DB4D9E">
        <w:rPr>
          <w:rFonts w:ascii="Times New Roman" w:hAnsi="Times New Roman"/>
          <w:sz w:val="28"/>
          <w:szCs w:val="28"/>
          <w:lang w:eastAsia="ru-RU"/>
        </w:rPr>
        <w:t>мая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DB4D9E" w:rsidRPr="00DB4D9E">
        <w:rPr>
          <w:rFonts w:ascii="Times New Roman" w:hAnsi="Times New Roman"/>
          <w:sz w:val="28"/>
          <w:szCs w:val="28"/>
          <w:lang w:eastAsia="ru-RU"/>
        </w:rPr>
        <w:t>2</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181532D0"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536FAD">
        <w:rPr>
          <w:rFonts w:ascii="Times New Roman" w:hAnsi="Times New Roman"/>
          <w:sz w:val="28"/>
          <w:szCs w:val="28"/>
        </w:rPr>
        <w:t>с 18 апреля 2022 года по 18</w:t>
      </w:r>
      <w:r w:rsidR="009E73E1" w:rsidRPr="00DB4D9E">
        <w:rPr>
          <w:rFonts w:ascii="Times New Roman" w:hAnsi="Times New Roman"/>
          <w:sz w:val="28"/>
          <w:szCs w:val="28"/>
        </w:rPr>
        <w:t xml:space="preserve"> мая 2022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23, кабинет №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097D4FC4" w14:textId="77777777" w:rsidR="009E73E1" w:rsidRDefault="009E73E1" w:rsidP="009E73E1">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bookmarkStart w:id="1" w:name="_GoBack"/>
      <w:bookmarkEnd w:id="1"/>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77777777"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конкурсе №__ на право заключения договора на размещение НТО (лот №_</w:t>
      </w:r>
      <w:proofErr w:type="gramStart"/>
      <w:r>
        <w:rPr>
          <w:sz w:val="28"/>
          <w:szCs w:val="28"/>
        </w:rPr>
        <w:t>_ )</w:t>
      </w:r>
      <w:proofErr w:type="gramEnd"/>
      <w:r>
        <w:rPr>
          <w:sz w:val="28"/>
          <w:szCs w:val="28"/>
        </w:rPr>
        <w:t>».</w:t>
      </w:r>
    </w:p>
    <w:p w14:paraId="6C84DEDE"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Pr>
          <w:rFonts w:ascii="Times New Roman" w:hAnsi="Times New Roman"/>
          <w:sz w:val="28"/>
          <w:szCs w:val="28"/>
        </w:rPr>
        <w:t>конкурсе.</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10.13</w:t>
      </w:r>
      <w:r w:rsidRPr="004E6F7B">
        <w:rPr>
          <w:rFonts w:ascii="Times New Roman" w:hAnsi="Times New Roman"/>
          <w:sz w:val="28"/>
          <w:szCs w:val="28"/>
        </w:rPr>
        <w:t xml:space="preserve">.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w:t>
      </w:r>
      <w:r w:rsidRPr="004E6F7B">
        <w:rPr>
          <w:rFonts w:ascii="Times New Roman" w:hAnsi="Times New Roman"/>
          <w:sz w:val="28"/>
          <w:szCs w:val="28"/>
        </w:rPr>
        <w:lastRenderedPageBreak/>
        <w:t>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77777777"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w:t>
      </w:r>
      <w:r w:rsidRPr="00056250">
        <w:rPr>
          <w:rFonts w:ascii="Times New Roman" w:hAnsi="Times New Roman"/>
          <w:sz w:val="28"/>
          <w:szCs w:val="28"/>
        </w:rPr>
        <w:lastRenderedPageBreak/>
        <w:t xml:space="preserve">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77777777" w:rsidR="00A32533" w:rsidRDefault="00A32533" w:rsidP="00C02511">
      <w:pPr>
        <w:pStyle w:val="a4"/>
        <w:spacing w:before="0" w:beforeAutospacing="0" w:after="0" w:afterAutospacing="0"/>
        <w:ind w:firstLine="709"/>
        <w:jc w:val="both"/>
        <w:rPr>
          <w:sz w:val="28"/>
          <w:szCs w:val="28"/>
        </w:rPr>
      </w:pPr>
      <w:r>
        <w:rPr>
          <w:sz w:val="28"/>
          <w:szCs w:val="28"/>
        </w:rPr>
        <w:t xml:space="preserve">Заместитель главы администрации                                </w:t>
      </w:r>
      <w:r w:rsidR="001A746B">
        <w:rPr>
          <w:sz w:val="28"/>
          <w:szCs w:val="28"/>
        </w:rPr>
        <w:t xml:space="preserve">              </w:t>
      </w:r>
      <w:r>
        <w:rPr>
          <w:sz w:val="28"/>
          <w:szCs w:val="28"/>
        </w:rPr>
        <w:t xml:space="preserve">   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3677C8E8"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A515BC">
        <w:rPr>
          <w:sz w:val="28"/>
          <w:szCs w:val="28"/>
        </w:rPr>
        <w:t xml:space="preserve">1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32252"/>
    <w:rsid w:val="0043249E"/>
    <w:rsid w:val="00432DF0"/>
    <w:rsid w:val="00445810"/>
    <w:rsid w:val="004532EC"/>
    <w:rsid w:val="0046701E"/>
    <w:rsid w:val="004677FE"/>
    <w:rsid w:val="00476C6E"/>
    <w:rsid w:val="00480A80"/>
    <w:rsid w:val="00482FBE"/>
    <w:rsid w:val="00491159"/>
    <w:rsid w:val="0049434A"/>
    <w:rsid w:val="004950B3"/>
    <w:rsid w:val="004A1104"/>
    <w:rsid w:val="004A235A"/>
    <w:rsid w:val="004A3090"/>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5BB6"/>
    <w:rsid w:val="00645DBB"/>
    <w:rsid w:val="00647EAA"/>
    <w:rsid w:val="006539FC"/>
    <w:rsid w:val="0065417C"/>
    <w:rsid w:val="006779DD"/>
    <w:rsid w:val="00681391"/>
    <w:rsid w:val="0068710F"/>
    <w:rsid w:val="006B2423"/>
    <w:rsid w:val="006B2814"/>
    <w:rsid w:val="006C6EBB"/>
    <w:rsid w:val="006D01FA"/>
    <w:rsid w:val="006D6DEC"/>
    <w:rsid w:val="006E264D"/>
    <w:rsid w:val="006E6DC0"/>
    <w:rsid w:val="006F0C51"/>
    <w:rsid w:val="006F2ACF"/>
    <w:rsid w:val="00720B2B"/>
    <w:rsid w:val="007446A2"/>
    <w:rsid w:val="00750ADA"/>
    <w:rsid w:val="00757294"/>
    <w:rsid w:val="0078229F"/>
    <w:rsid w:val="00797301"/>
    <w:rsid w:val="007A63F4"/>
    <w:rsid w:val="007B0199"/>
    <w:rsid w:val="007B26BC"/>
    <w:rsid w:val="007B3754"/>
    <w:rsid w:val="007B70FE"/>
    <w:rsid w:val="007C747A"/>
    <w:rsid w:val="007C7C1B"/>
    <w:rsid w:val="007E3190"/>
    <w:rsid w:val="008076EC"/>
    <w:rsid w:val="008128A0"/>
    <w:rsid w:val="00830AA2"/>
    <w:rsid w:val="00833C5D"/>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931ED"/>
    <w:rsid w:val="00D96652"/>
    <w:rsid w:val="00DA7304"/>
    <w:rsid w:val="00DB1098"/>
    <w:rsid w:val="00DB10E6"/>
    <w:rsid w:val="00DB2E65"/>
    <w:rsid w:val="00DB4D9E"/>
    <w:rsid w:val="00DC415B"/>
    <w:rsid w:val="00DD2140"/>
    <w:rsid w:val="00DD7146"/>
    <w:rsid w:val="00DE70AF"/>
    <w:rsid w:val="00DF736D"/>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90695"/>
    <w:rsid w:val="00F92631"/>
    <w:rsid w:val="00FA6F30"/>
    <w:rsid w:val="00FC1BCE"/>
    <w:rsid w:val="00FC4208"/>
    <w:rsid w:val="00FD7DC5"/>
    <w:rsid w:val="00FE4ACD"/>
    <w:rsid w:val="00FE75C3"/>
    <w:rsid w:val="00FF0BB5"/>
    <w:rsid w:val="00FF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2EB7-0D21-488F-AD2E-FD767788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5854</Words>
  <Characters>33373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5</cp:revision>
  <cp:lastPrinted>2022-04-14T04:40:00Z</cp:lastPrinted>
  <dcterms:created xsi:type="dcterms:W3CDTF">2022-04-12T06:47:00Z</dcterms:created>
  <dcterms:modified xsi:type="dcterms:W3CDTF">2022-04-18T09:30:00Z</dcterms:modified>
</cp:coreProperties>
</file>